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42" w:rsidRPr="00DA6F42" w:rsidRDefault="00DA6F42" w:rsidP="00DA6F42">
      <w:pPr>
        <w:spacing w:before="40" w:after="4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DA6F42">
        <w:rPr>
          <w:rFonts w:ascii="Arial" w:eastAsia="Times New Roman" w:hAnsi="Arial" w:cs="Arial"/>
          <w:b/>
          <w:lang w:val="hr-HR" w:eastAsia="hr-HR"/>
        </w:rPr>
        <w:t>1. SZAKASZ: Az anyag / keverék és a vállalat / vállalkozás azonosítása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A6F42">
        <w:rPr>
          <w:rFonts w:ascii="Arial" w:eastAsia="Times New Roman" w:hAnsi="Arial" w:cs="Arial"/>
          <w:b/>
          <w:lang w:eastAsia="hu-HU"/>
        </w:rPr>
        <w:t>1.1. Termékazonosító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 xml:space="preserve">-Kereskedelem neve: </w:t>
      </w:r>
      <w:r w:rsidR="00EA7AA1" w:rsidRPr="00EA7AA1">
        <w:rPr>
          <w:rFonts w:ascii="Arial" w:hAnsi="Arial" w:cs="Arial"/>
          <w:szCs w:val="24"/>
        </w:rPr>
        <w:t>ORNEL JASMINE &amp; COTTON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CAS-szám / EK-szám: Nem alkalmazható, a termék keverék</w:t>
      </w:r>
    </w:p>
    <w:p w:rsid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Termékkód: -</w:t>
      </w:r>
    </w:p>
    <w:p w:rsidR="003B4452" w:rsidRPr="00DA6F42" w:rsidRDefault="003B445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1</w:t>
      </w:r>
      <w:r w:rsidRPr="00DA6F42">
        <w:rPr>
          <w:rFonts w:ascii="Arial" w:eastAsia="Times New Roman" w:hAnsi="Arial" w:cs="Arial"/>
          <w:b/>
          <w:lang w:eastAsia="hu-HU"/>
        </w:rPr>
        <w:t>.2. Az anyag vagy keverék megfelelő azonosított felhasználása és ellenjavallt felhasználása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Megfelelő azonosított felhasználások: Szövet kondicionáló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Ellenjavallt felhasználások: Az előző szakaszban megadott felhasználási mód. Egyéb</w:t>
      </w:r>
    </w:p>
    <w:p w:rsid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 xml:space="preserve">  a módszerek nem ajánlottak.</w:t>
      </w:r>
    </w:p>
    <w:p w:rsidR="003B4452" w:rsidRPr="00DA6F42" w:rsidRDefault="003B445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A6F42">
        <w:rPr>
          <w:rFonts w:ascii="Arial" w:eastAsia="Times New Roman" w:hAnsi="Arial" w:cs="Arial"/>
          <w:b/>
          <w:lang w:eastAsia="hu-HU"/>
        </w:rPr>
        <w:t>1.3. A biztonsági adatlap szállítójának adatai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Gyártó: SAPONIA d.d.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Cím: M. Gupca 2, Eszék, Horvátország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Telefon: 00 385 31 513 513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Faks: 00 385 31 513 103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e-mail: saponia@saponia.hr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1.4. Sürgősségi telefonszám</w:t>
      </w:r>
    </w:p>
    <w:p w:rsidR="00DA6F42" w:rsidRPr="00F241A4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Sürgősségi szám: 112</w:t>
      </w:r>
    </w:p>
    <w:p w:rsidR="00DA6F42" w:rsidRPr="00F241A4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 SZAKASZ: A veszély meghatározása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2.1. Az anyag vagy keverék osztályozása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2.1.1. Besorolás az 1272/2008 / EK rendelet (CLP) szerint: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Keverék: CLP osztályozás nem szükséges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          EUH208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2.2. Címke elemek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2.2.1. Címkézés az 1272/2008 / EK rendelet (CLP / GHS) szerint:</w:t>
      </w:r>
      <w:r w:rsidRPr="00F241A4">
        <w:rPr>
          <w:rFonts w:ascii="Arial" w:hAnsi="Arial" w:cs="Arial"/>
          <w:sz w:val="22"/>
          <w:szCs w:val="22"/>
        </w:rPr>
        <w:t xml:space="preserve"> -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Tartalmaz: Hexyl Cinnamal. Allergiás reakciót válthat ki.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2.3. Egyéb veszélyek</w:t>
      </w:r>
      <w:r w:rsidRPr="00F241A4">
        <w:rPr>
          <w:rFonts w:ascii="Arial" w:hAnsi="Arial" w:cs="Arial"/>
          <w:sz w:val="22"/>
          <w:szCs w:val="22"/>
        </w:rPr>
        <w:t>: Megfelelő használat esetén nincs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 SZAKASZ: Összetétel / információk az összetevőkről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3.1. Anyag</w:t>
      </w:r>
      <w:r w:rsidRPr="00F241A4">
        <w:rPr>
          <w:rFonts w:ascii="Arial" w:hAnsi="Arial" w:cs="Arial"/>
          <w:sz w:val="22"/>
          <w:szCs w:val="22"/>
        </w:rPr>
        <w:t>: Nem alkalmazható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874A6" w:rsidRDefault="00D874A6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3.2. Keverék</w:t>
      </w:r>
      <w:r w:rsidRPr="00F241A4">
        <w:rPr>
          <w:rFonts w:ascii="Arial" w:hAnsi="Arial" w:cs="Arial"/>
          <w:sz w:val="22"/>
          <w:szCs w:val="22"/>
        </w:rPr>
        <w:t>:</w:t>
      </w:r>
    </w:p>
    <w:p w:rsidR="00BD7764" w:rsidRPr="00F241A4" w:rsidRDefault="00DB0D7E">
      <w:pPr>
        <w:rPr>
          <w:rFonts w:ascii="Arial" w:hAnsi="Arial" w:cs="Arial"/>
        </w:rPr>
      </w:pPr>
    </w:p>
    <w:tbl>
      <w:tblPr>
        <w:tblStyle w:val="Rcsostblzat"/>
        <w:tblW w:w="9180" w:type="dxa"/>
        <w:tblLayout w:type="fixed"/>
        <w:tblLook w:val="04A0"/>
      </w:tblPr>
      <w:tblGrid>
        <w:gridCol w:w="1809"/>
        <w:gridCol w:w="1560"/>
        <w:gridCol w:w="1275"/>
        <w:gridCol w:w="1985"/>
        <w:gridCol w:w="709"/>
        <w:gridCol w:w="1842"/>
      </w:tblGrid>
      <w:tr w:rsidR="00EA7AA1" w:rsidRPr="00F241A4" w:rsidTr="00EA7AA1">
        <w:trPr>
          <w:trHeight w:val="591"/>
        </w:trPr>
        <w:tc>
          <w:tcPr>
            <w:tcW w:w="1809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</w:rPr>
              <w:t>Chemical Name</w:t>
            </w:r>
          </w:p>
        </w:tc>
        <w:tc>
          <w:tcPr>
            <w:tcW w:w="1560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CAS No</w:t>
            </w:r>
          </w:p>
        </w:tc>
        <w:tc>
          <w:tcPr>
            <w:tcW w:w="1275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EC No</w:t>
            </w:r>
          </w:p>
        </w:tc>
        <w:tc>
          <w:tcPr>
            <w:tcW w:w="1985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Reg. No (REACH)</w:t>
            </w:r>
          </w:p>
        </w:tc>
        <w:tc>
          <w:tcPr>
            <w:tcW w:w="709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%</w:t>
            </w:r>
          </w:p>
        </w:tc>
        <w:tc>
          <w:tcPr>
            <w:tcW w:w="1842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</w:rPr>
              <w:t>Classificationaccording to CLP (EC) No 1272/2008</w:t>
            </w:r>
          </w:p>
        </w:tc>
      </w:tr>
      <w:tr w:rsidR="00EA7AA1" w:rsidRPr="00F241A4" w:rsidTr="00EA7AA1">
        <w:trPr>
          <w:trHeight w:val="562"/>
        </w:trPr>
        <w:tc>
          <w:tcPr>
            <w:tcW w:w="1809" w:type="dxa"/>
          </w:tcPr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Zsírsavak, telítetlen C16-18 és C18, reakciótermékek trietanol-aminnal</w:t>
            </w:r>
          </w:p>
          <w:p w:rsidR="00EA7AA1" w:rsidRPr="00EA7AA1" w:rsidRDefault="00EA7AA1" w:rsidP="00DC41EF">
            <w:pPr>
              <w:pStyle w:val="Default"/>
              <w:spacing w:before="240" w:after="240" w:line="276" w:lineRule="auto"/>
              <w:rPr>
                <w:sz w:val="18"/>
                <w:szCs w:val="22"/>
              </w:rPr>
            </w:pPr>
          </w:p>
        </w:tc>
        <w:tc>
          <w:tcPr>
            <w:tcW w:w="1560" w:type="dxa"/>
          </w:tcPr>
          <w:tbl>
            <w:tblPr>
              <w:tblW w:w="245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5"/>
            </w:tblGrid>
            <w:tr w:rsidR="00EA7AA1" w:rsidRPr="00EA7AA1" w:rsidTr="00EA7AA1">
              <w:trPr>
                <w:trHeight w:val="69"/>
              </w:trPr>
              <w:tc>
                <w:tcPr>
                  <w:tcW w:w="245" w:type="dxa"/>
                </w:tcPr>
                <w:p w:rsidR="00EA7AA1" w:rsidRPr="00EA7AA1" w:rsidRDefault="00EA7AA1" w:rsidP="00DC41EF">
                  <w:pPr>
                    <w:pStyle w:val="Default"/>
                    <w:rPr>
                      <w:sz w:val="18"/>
                      <w:szCs w:val="22"/>
                    </w:rPr>
                  </w:pPr>
                </w:p>
              </w:tc>
            </w:tr>
          </w:tbl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931-203-0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pStyle w:val="Default"/>
              <w:rPr>
                <w:sz w:val="18"/>
                <w:szCs w:val="22"/>
              </w:rPr>
            </w:pPr>
            <w:r w:rsidRPr="00EA7AA1">
              <w:rPr>
                <w:sz w:val="18"/>
                <w:szCs w:val="22"/>
              </w:rPr>
              <w:t>-</w:t>
            </w:r>
          </w:p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5-15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nem minősül</w:t>
            </w:r>
          </w:p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veszélyesnek</w:t>
            </w:r>
          </w:p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</w:tc>
      </w:tr>
      <w:tr w:rsidR="00EA7AA1" w:rsidRPr="00F241A4" w:rsidTr="00EA7AA1">
        <w:trPr>
          <w:trHeight w:val="1093"/>
        </w:trPr>
        <w:tc>
          <w:tcPr>
            <w:tcW w:w="1809" w:type="dxa"/>
          </w:tcPr>
          <w:p w:rsidR="00EA7AA1" w:rsidRPr="00EA7AA1" w:rsidRDefault="00EA7AA1" w:rsidP="00DC41EF">
            <w:pPr>
              <w:spacing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Isopropanol</w:t>
            </w:r>
          </w:p>
        </w:tc>
        <w:tc>
          <w:tcPr>
            <w:tcW w:w="1560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67-63-0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200-661-7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01-2119457558-25</w:t>
            </w: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&lt; 2.0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tűzveszély. 2, H225</w:t>
            </w: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szemirritáció. 2; H319</w:t>
            </w: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STOT SE 3; H336</w:t>
            </w:r>
          </w:p>
        </w:tc>
      </w:tr>
      <w:tr w:rsidR="00EA7AA1" w:rsidRPr="00F241A4" w:rsidTr="00EA7AA1">
        <w:trPr>
          <w:trHeight w:val="1596"/>
        </w:trPr>
        <w:tc>
          <w:tcPr>
            <w:tcW w:w="1809" w:type="dxa"/>
          </w:tcPr>
          <w:p w:rsidR="00EA7AA1" w:rsidRPr="00EA7AA1" w:rsidRDefault="00EA7AA1" w:rsidP="00DC41EF">
            <w:pPr>
              <w:spacing w:before="2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hexyl cinnamal</w:t>
            </w:r>
          </w:p>
        </w:tc>
        <w:tc>
          <w:tcPr>
            <w:tcW w:w="1560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165184-98-5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639-566-4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01-2119533092-50</w:t>
            </w: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&lt; 1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bőr irritáció. 1B, H317</w:t>
            </w:r>
          </w:p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Aquat. Acute 1; H400</w:t>
            </w:r>
          </w:p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Aquat.Chron.2; H411</w:t>
            </w:r>
          </w:p>
        </w:tc>
      </w:tr>
    </w:tbl>
    <w:p w:rsidR="00F241A4" w:rsidRPr="00F241A4" w:rsidRDefault="00F241A4">
      <w:pPr>
        <w:rPr>
          <w:rFonts w:ascii="Arial" w:hAnsi="Arial" w:cs="Arial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4. SZAKASZ: </w:t>
      </w:r>
      <w:r w:rsidR="003B4452" w:rsidRPr="00F241A4">
        <w:rPr>
          <w:rFonts w:ascii="Arial" w:hAnsi="Arial" w:cs="Arial"/>
          <w:b/>
          <w:sz w:val="22"/>
          <w:szCs w:val="22"/>
        </w:rPr>
        <w:t>Elsősegély nyújtási</w:t>
      </w:r>
      <w:r w:rsidRPr="00F241A4">
        <w:rPr>
          <w:rFonts w:ascii="Arial" w:hAnsi="Arial" w:cs="Arial"/>
          <w:b/>
          <w:sz w:val="22"/>
          <w:szCs w:val="22"/>
        </w:rPr>
        <w:t xml:space="preserve"> intézkedések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4.1. Az elsősegély-nyújtási intézkedések ismertetése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belélegzés után: Nem </w:t>
      </w:r>
      <w:r w:rsidR="003B4452">
        <w:rPr>
          <w:rFonts w:ascii="Arial" w:hAnsi="Arial" w:cs="Arial"/>
          <w:sz w:val="22"/>
          <w:szCs w:val="22"/>
        </w:rPr>
        <w:t>szükséges</w:t>
      </w:r>
      <w:r w:rsidRPr="00F241A4">
        <w:rPr>
          <w:rFonts w:ascii="Arial" w:hAnsi="Arial" w:cs="Arial"/>
          <w:sz w:val="22"/>
          <w:szCs w:val="22"/>
        </w:rPr>
        <w:t>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bőrrel való érintkezés után: Ha tünetek jelentkeznek: bő vízzel </w:t>
      </w:r>
      <w:r w:rsidR="003B4452">
        <w:rPr>
          <w:rFonts w:ascii="Arial" w:hAnsi="Arial" w:cs="Arial"/>
          <w:sz w:val="22"/>
          <w:szCs w:val="22"/>
        </w:rPr>
        <w:t>le</w:t>
      </w:r>
      <w:r w:rsidRPr="00F241A4">
        <w:rPr>
          <w:rFonts w:ascii="Arial" w:hAnsi="Arial" w:cs="Arial"/>
          <w:sz w:val="22"/>
          <w:szCs w:val="22"/>
        </w:rPr>
        <w:t xml:space="preserve"> kell öblíteni. </w:t>
      </w:r>
      <w:r w:rsidR="003B4452">
        <w:rPr>
          <w:rFonts w:ascii="Arial" w:hAnsi="Arial" w:cs="Arial"/>
          <w:sz w:val="22"/>
          <w:szCs w:val="22"/>
        </w:rPr>
        <w:t xml:space="preserve">Forduljon </w:t>
      </w:r>
      <w:r w:rsidRPr="00F241A4">
        <w:rPr>
          <w:rFonts w:ascii="Arial" w:hAnsi="Arial" w:cs="Arial"/>
          <w:sz w:val="22"/>
          <w:szCs w:val="22"/>
        </w:rPr>
        <w:t>orvoshoz, ha irritációt okoz.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szembe kerülés után: </w:t>
      </w:r>
      <w:r w:rsidR="003B4452">
        <w:rPr>
          <w:rFonts w:ascii="Arial" w:hAnsi="Arial" w:cs="Arial"/>
          <w:sz w:val="22"/>
          <w:szCs w:val="22"/>
        </w:rPr>
        <w:t>Bő vízzel öblítse ki.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Forduljon orvoshoz, ha az irritáció továbbra is fennáll.</w:t>
      </w:r>
    </w:p>
    <w:p w:rsidR="00F241A4" w:rsidRPr="00F241A4" w:rsidRDefault="00F241A4" w:rsidP="003B445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lenyelés után: Öblítse ki a szájat </w:t>
      </w:r>
      <w:r w:rsidR="003B4452">
        <w:rPr>
          <w:rFonts w:ascii="Arial" w:hAnsi="Arial" w:cs="Arial"/>
          <w:sz w:val="22"/>
          <w:szCs w:val="22"/>
        </w:rPr>
        <w:t xml:space="preserve">bő </w:t>
      </w:r>
      <w:r w:rsidRPr="00F241A4">
        <w:rPr>
          <w:rFonts w:ascii="Arial" w:hAnsi="Arial" w:cs="Arial"/>
          <w:sz w:val="22"/>
          <w:szCs w:val="22"/>
        </w:rPr>
        <w:t xml:space="preserve">vízzel, és igyon sok vizet. </w:t>
      </w:r>
      <w:r w:rsidR="003B4452">
        <w:rPr>
          <w:rFonts w:ascii="Arial" w:hAnsi="Arial" w:cs="Arial"/>
          <w:sz w:val="22"/>
          <w:szCs w:val="22"/>
        </w:rPr>
        <w:t>Ne hánytassa meg magát</w:t>
      </w:r>
      <w:r w:rsidRPr="00F241A4">
        <w:rPr>
          <w:rFonts w:ascii="Arial" w:hAnsi="Arial" w:cs="Arial"/>
          <w:sz w:val="22"/>
          <w:szCs w:val="22"/>
        </w:rPr>
        <w:t>. Forduljon orvoshoz, ha az irritáció továbbra is fennáll.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4.2. A legfontosabb - akut és késleltetett - tünetek és hatások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belélegzés után: Nem várható.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bőrrel való érintkezés után: Nem várható. A hosszan tartó expozíció enyhe, átmeneti irritációt okozhat.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szembe kerülés után: A közvetlen érintkezés enyhe irritációt okozhat.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lenyelés után: Átmeneti gyomor-bél irritációt okozhat hányingerrel és hányással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lastRenderedPageBreak/>
        <w:t>4.3. A szükséges azonnali orvosi ellátás és különleges ellátás jelzése: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Nincs elérhető adat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2D766E" w:rsidRDefault="002D766E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 SZAKASZ: Tűzoltási intézkedések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5.1. Oltóanyag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Megfelelő oltóanyag: vízpermet vagy köd, száraz vegyi por, hab, szén-dioxid (CO2).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5.2. Az anyagból vagy a keverékből származó különleges veszélyek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Tűzveszély: Nincs tűzveszély. Nem éghető.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Robbanásveszély: A termék nem robbanásveszélyes.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Reakciókészség: Veszélyes reakciók nem ismertek.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5.3. Tűzolt</w:t>
      </w:r>
      <w:r w:rsidR="003B4452">
        <w:rPr>
          <w:rFonts w:ascii="Arial" w:hAnsi="Arial" w:cs="Arial"/>
          <w:b/>
          <w:sz w:val="22"/>
          <w:szCs w:val="22"/>
        </w:rPr>
        <w:t xml:space="preserve">ásra </w:t>
      </w:r>
      <w:r w:rsidRPr="00F241A4">
        <w:rPr>
          <w:rFonts w:ascii="Arial" w:hAnsi="Arial" w:cs="Arial"/>
          <w:b/>
          <w:sz w:val="22"/>
          <w:szCs w:val="22"/>
        </w:rPr>
        <w:t>szóló tanácsok: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Tűzoltási utasítások: Nincs szükség külön tűzoltási utasításokra.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Védelem a tűzoltás során: Nem megfelelő szellőzés esetén viseljen légzésvédőt.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 SZAKASZ: Intézkedések véletlenszerű környezetbe engedés esetén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6.1. Személyi óvintézkedések, egyéni védőeszközök és vészhelyzeti eljárások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Megfelelő kesztyűt és szem- / arcvédőt kell viselni.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6.2. Környezetvédelmi óvintézkedések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A talaj és a víz szennyezésének megakadályozása</w:t>
      </w:r>
      <w:r w:rsidR="00D52ACD">
        <w:rPr>
          <w:rFonts w:ascii="Arial" w:hAnsi="Arial" w:cs="Arial"/>
          <w:sz w:val="22"/>
          <w:szCs w:val="22"/>
        </w:rPr>
        <w:t xml:space="preserve"> érdekében a</w:t>
      </w:r>
      <w:r w:rsidRPr="00F241A4">
        <w:rPr>
          <w:rFonts w:ascii="Arial" w:hAnsi="Arial" w:cs="Arial"/>
          <w:sz w:val="22"/>
          <w:szCs w:val="22"/>
        </w:rPr>
        <w:t>kadályozzuk meg a szennyvízcsatornákban való terjedést.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6.3. A területi elhatárolás és a </w:t>
      </w:r>
      <w:r w:rsidR="00D52ACD" w:rsidRPr="00F241A4">
        <w:rPr>
          <w:rFonts w:ascii="Arial" w:hAnsi="Arial" w:cs="Arial"/>
          <w:b/>
          <w:sz w:val="22"/>
          <w:szCs w:val="22"/>
        </w:rPr>
        <w:t>szennyezés mentesítés</w:t>
      </w:r>
      <w:r w:rsidRPr="00F241A4">
        <w:rPr>
          <w:rFonts w:ascii="Arial" w:hAnsi="Arial" w:cs="Arial"/>
          <w:b/>
          <w:sz w:val="22"/>
          <w:szCs w:val="22"/>
        </w:rPr>
        <w:t xml:space="preserve"> módszerei és anyagai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Kis mennyiségű kiömlés: mossa le vízzel. Nagy mennyiségű kiömlés: felszívódó anyaggal (pl. Homok, univerzális kötőanyag, fűrészpor) vegye fel. Ezt az anyagot és edényét biztonságos módon, a helyi jogszabályok szerint kell</w:t>
      </w:r>
      <w:r w:rsidR="00D52ACD">
        <w:rPr>
          <w:rFonts w:ascii="Arial" w:hAnsi="Arial" w:cs="Arial"/>
          <w:sz w:val="22"/>
          <w:szCs w:val="22"/>
        </w:rPr>
        <w:t xml:space="preserve"> a keletkezett hulladékot kezelni</w:t>
      </w:r>
      <w:r w:rsidRPr="00F241A4">
        <w:rPr>
          <w:rFonts w:ascii="Arial" w:hAnsi="Arial" w:cs="Arial"/>
          <w:sz w:val="22"/>
          <w:szCs w:val="22"/>
        </w:rPr>
        <w:t>.</w:t>
      </w: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6.4. Hivatkozás más szakaszokra: További információ nem áll rendelkezésre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 SZAKASZ: Kezelés és tárolás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7.1. Óvintézkedések a szennyezett anyag kezelésével kapcsolatban:</w:t>
      </w:r>
      <w:r w:rsidRPr="00F241A4">
        <w:rPr>
          <w:rFonts w:ascii="Arial" w:hAnsi="Arial" w:cs="Arial"/>
          <w:sz w:val="22"/>
          <w:szCs w:val="22"/>
        </w:rPr>
        <w:t xml:space="preserve"> Kerülje a szembe jutást. A termék használata közben nem szabad enni, inni és dohányozni. Csak akkor kezelje, ha az összes óvintézkedést elolvasta és megértette.</w:t>
      </w:r>
    </w:p>
    <w:p w:rsidR="00D52ACD" w:rsidRDefault="00D52ACD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7.2. A </w:t>
      </w:r>
      <w:r w:rsidR="00D52ACD">
        <w:rPr>
          <w:rFonts w:ascii="Arial" w:hAnsi="Arial" w:cs="Arial"/>
          <w:b/>
          <w:sz w:val="22"/>
          <w:szCs w:val="22"/>
        </w:rPr>
        <w:t>biztonságos</w:t>
      </w:r>
      <w:r w:rsidRPr="00F241A4">
        <w:rPr>
          <w:rFonts w:ascii="Arial" w:hAnsi="Arial" w:cs="Arial"/>
          <w:b/>
          <w:sz w:val="22"/>
          <w:szCs w:val="22"/>
        </w:rPr>
        <w:t xml:space="preserve"> tárolásának feltételei, az esetleges összeférhetetlenséget is beleértve: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Tárolási körülmények: Eredeti csomagolásban, hűvös helyen tárolandó. Gyermekektől elzárva tartandó. Élelmiszereket és állati ételeket ne tároljon</w:t>
      </w:r>
      <w:r w:rsidR="00D52ACD">
        <w:rPr>
          <w:rFonts w:ascii="Arial" w:hAnsi="Arial" w:cs="Arial"/>
          <w:sz w:val="22"/>
          <w:szCs w:val="22"/>
        </w:rPr>
        <w:t xml:space="preserve"> mellette</w:t>
      </w:r>
      <w:r w:rsidRPr="00F241A4">
        <w:rPr>
          <w:rFonts w:ascii="Arial" w:hAnsi="Arial" w:cs="Arial"/>
          <w:sz w:val="22"/>
          <w:szCs w:val="22"/>
        </w:rPr>
        <w:t>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Nem összeférhető termékek / anyagok: Nem.</w:t>
      </w: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7.3. Meghatározott végfelhasználás (végfelhasználások):</w:t>
      </w:r>
      <w:r w:rsidRPr="00F241A4">
        <w:rPr>
          <w:rFonts w:ascii="Arial" w:hAnsi="Arial" w:cs="Arial"/>
          <w:sz w:val="22"/>
          <w:szCs w:val="22"/>
        </w:rPr>
        <w:t xml:space="preserve"> Nem alkalmazható.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8. SZAKASZ: Az expozíció ellenőrzése / egyéni védelem</w:t>
      </w:r>
    </w:p>
    <w:p w:rsidR="002D766E" w:rsidRDefault="002D766E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lastRenderedPageBreak/>
        <w:t>8.1. Ellenőrzési paraméterek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1"/>
        <w:gridCol w:w="1998"/>
        <w:gridCol w:w="1613"/>
        <w:gridCol w:w="1680"/>
        <w:gridCol w:w="2662"/>
      </w:tblGrid>
      <w:tr w:rsidR="00F241A4" w:rsidRPr="00470720" w:rsidTr="00DC41EF">
        <w:trPr>
          <w:cantSplit/>
          <w:trHeight w:val="829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Hozzávaló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CAS No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F241A4" w:rsidRPr="00470720" w:rsidRDefault="00FD0534" w:rsidP="00FD0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lang w:eastAsia="hu-HU"/>
              </w:rPr>
            </w:pPr>
            <w:r w:rsidRPr="006E15AF">
              <w:rPr>
                <w:rFonts w:ascii="Arial" w:hAnsi="Arial" w:cs="Arial"/>
                <w:b/>
                <w:sz w:val="20"/>
                <w:lang w:eastAsia="hu-HU"/>
              </w:rPr>
              <w:t>Az expozíciós határérték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Biológiai határértékek</w:t>
            </w:r>
          </w:p>
        </w:tc>
      </w:tr>
      <w:tr w:rsidR="00F241A4" w:rsidRPr="00470720" w:rsidTr="00DC41EF">
        <w:trPr>
          <w:cantSplit/>
          <w:trHeight w:val="342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70720">
              <w:rPr>
                <w:rFonts w:ascii="Arial" w:hAnsi="Arial" w:cs="Arial"/>
                <w:b/>
                <w:sz w:val="20"/>
              </w:rPr>
              <w:t>ppm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mg/m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241A4" w:rsidRPr="00470720" w:rsidTr="00DC41EF">
        <w:trPr>
          <w:cantSplit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isopropanol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B5199">
              <w:rPr>
                <w:rFonts w:ascii="Arial" w:hAnsi="Arial" w:cs="Arial"/>
                <w:sz w:val="20"/>
              </w:rPr>
              <w:t>67-63-0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tabs>
                <w:tab w:val="left" w:pos="645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Default="00FD053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8.2. Expozíció ellenőrzése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légzésvédelem: 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kézvédelem: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szemvédelem: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bőrvédelem: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Nem szükséges egyéni védőfelszerelés.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 SZAKASZ: Fizikai és kémiai tulajdonságok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9.1. Az alapvető fizikai és kémiai tulajdonságokra vonatkozó információ: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fizikai állapot: folyékony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szín: világos ibolya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szag: jellegzetes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pH: 3,0–4,0 (1% vízoldat)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kezdeti forráspont: </w:t>
      </w:r>
      <w:r w:rsidR="00D52ACD">
        <w:rPr>
          <w:rFonts w:ascii="Arial" w:hAnsi="Arial" w:cs="Arial"/>
          <w:sz w:val="22"/>
          <w:szCs w:val="22"/>
        </w:rPr>
        <w:t>n</w:t>
      </w:r>
      <w:r w:rsidR="00D52ACD" w:rsidRPr="00FD0534">
        <w:rPr>
          <w:rFonts w:ascii="Arial" w:hAnsi="Arial" w:cs="Arial"/>
          <w:sz w:val="22"/>
          <w:szCs w:val="22"/>
        </w:rPr>
        <w:t xml:space="preserve">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lobbanáspont: </w:t>
      </w:r>
      <w:r w:rsidR="00D52ACD">
        <w:rPr>
          <w:rFonts w:ascii="Arial" w:hAnsi="Arial" w:cs="Arial"/>
          <w:sz w:val="22"/>
          <w:szCs w:val="22"/>
        </w:rPr>
        <w:t>n</w:t>
      </w:r>
      <w:r w:rsidR="00D52ACD" w:rsidRPr="00FD0534">
        <w:rPr>
          <w:rFonts w:ascii="Arial" w:hAnsi="Arial" w:cs="Arial"/>
          <w:sz w:val="22"/>
          <w:szCs w:val="22"/>
        </w:rPr>
        <w:t xml:space="preserve">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bomlási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gőznyomás: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sűrűség (20 ºC):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sűrűség: 1,0 g / cm3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viszkozitás: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viszkozitás (kinematikus):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robbanási tulajdonságok: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oldhatóság (minőségi): oldható (víz)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megszilárdulási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olvadáspont: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tűzveszélyesség: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öngyulladási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robbanási határok: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megoszlási hányados: n-oktanol / víz: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párolgási sebesség: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gőzsűrűség: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oxidáló tulajdonságok: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9.2. Egyéb információ: Nincs adat</w:t>
      </w:r>
    </w:p>
    <w:p w:rsidR="00FD0534" w:rsidRPr="00F241A4" w:rsidRDefault="00FD053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EA7AA1" w:rsidRDefault="00EA7AA1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EA7AA1" w:rsidRDefault="00EA7AA1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10. SZAKASZ: Stabilitás és reakciókészség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10.1. Reakciókészség:</w:t>
      </w:r>
      <w:r w:rsidRPr="00FD0534">
        <w:rPr>
          <w:rFonts w:ascii="Arial" w:hAnsi="Arial" w:cs="Arial"/>
          <w:sz w:val="22"/>
          <w:szCs w:val="22"/>
        </w:rPr>
        <w:t xml:space="preserve"> Veszélyes reakciók nem ismertek.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10.2. Kémiai stabilitás:</w:t>
      </w:r>
      <w:r w:rsidRPr="00FD0534">
        <w:rPr>
          <w:rFonts w:ascii="Arial" w:hAnsi="Arial" w:cs="Arial"/>
          <w:sz w:val="22"/>
          <w:szCs w:val="22"/>
        </w:rPr>
        <w:t xml:space="preserve"> Normál körülmények között stabil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10.3. A veszélyes reakciók lehetősége:</w:t>
      </w:r>
      <w:r w:rsidRPr="00FD0534">
        <w:rPr>
          <w:rFonts w:ascii="Arial" w:hAnsi="Arial" w:cs="Arial"/>
          <w:sz w:val="22"/>
          <w:szCs w:val="22"/>
        </w:rPr>
        <w:t xml:space="preserve"> Normál körülmények között nem ismert veszélyes reakció használat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 xml:space="preserve">10.4. Kerülendő körülmények: </w:t>
      </w:r>
      <w:r w:rsidRPr="00FD0534">
        <w:rPr>
          <w:rFonts w:ascii="Arial" w:hAnsi="Arial" w:cs="Arial"/>
          <w:sz w:val="22"/>
          <w:szCs w:val="22"/>
        </w:rPr>
        <w:t>Normál használati körülmények között nem szükséges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10.5. Kerülendő anyagok:</w:t>
      </w:r>
      <w:r w:rsidR="00D52ACD">
        <w:rPr>
          <w:rFonts w:ascii="Arial" w:hAnsi="Arial" w:cs="Arial"/>
          <w:sz w:val="22"/>
          <w:szCs w:val="22"/>
        </w:rPr>
        <w:t xml:space="preserve"> Nincs.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10.6. Veszélyes bomlástermékek:</w:t>
      </w:r>
      <w:r w:rsidR="00D52ACD">
        <w:rPr>
          <w:rFonts w:ascii="Arial" w:hAnsi="Arial" w:cs="Arial"/>
          <w:sz w:val="22"/>
          <w:szCs w:val="22"/>
        </w:rPr>
        <w:t xml:space="preserve"> Nem ismert.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11. SZAKASZ: Toxikológiai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11.1. Toxikológiai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orális toxicitás (LD50):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dermális toxicitás (LD50):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inhalációs toxicitás (LC50):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Korrózió / irritáció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bőrmarás / bőrirritáció: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súlyos szemkárosodás / irritáció: Nincs adat</w:t>
      </w:r>
    </w:p>
    <w:p w:rsidR="00FD0534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Túlérzékenység: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légzőszervi vagy bőrszenzibilizáció: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Karcinogenitás: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Csírasejt mutagenitás: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Ismételt dózisú toxicitás: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Reprodukciós toxicitás: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 SZAKASZ: Ökológiai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12.1. Toxicitás (hal)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(halak):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(Daphnia):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(algák):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12.2. Perzisztencia és lebonthatóság: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Biológiai lebonthatóság: Biológiai lebomlás: 75%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Expozíciós idő: 28 d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Módszer: OECD 301B vizsgálati útmutató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Megjegyzések: Az információk a fő összetevőre vonatkoznak. Biológiailag könnyen lebo</w:t>
      </w:r>
      <w:r w:rsidR="00D52ACD">
        <w:rPr>
          <w:rFonts w:ascii="Arial" w:hAnsi="Arial" w:cs="Arial"/>
          <w:sz w:val="22"/>
          <w:szCs w:val="22"/>
        </w:rPr>
        <w:t>mló</w:t>
      </w:r>
      <w:r w:rsidRPr="00FD0534">
        <w:rPr>
          <w:rFonts w:ascii="Arial" w:hAnsi="Arial" w:cs="Arial"/>
          <w:sz w:val="22"/>
          <w:szCs w:val="22"/>
        </w:rPr>
        <w:t>, a megfelelő OECD-teszt szerint.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12.3. Bioakkumulációs képesség: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12.4. A talajban való mobilitás: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12.5. A PBT- és a vPvB-értékelés eredményei: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12.6. Egyéb káros hatások: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13. SZAKASZ: Ártalmatlanítási szempont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13.1. Hulladékkezelési módszerek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 termék megsemmisítése: A megsemmisítést a helyi, regionális vagy országos előírásoknak megfelelően kell végrehajtani.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</w:t>
      </w:r>
      <w:r w:rsidR="00676937">
        <w:rPr>
          <w:rFonts w:ascii="Arial" w:hAnsi="Arial" w:cs="Arial"/>
          <w:sz w:val="22"/>
          <w:szCs w:val="22"/>
        </w:rPr>
        <w:t>Nem üres termék megsemmisítése</w:t>
      </w:r>
      <w:r w:rsidRPr="00FD0534">
        <w:rPr>
          <w:rFonts w:ascii="Arial" w:hAnsi="Arial" w:cs="Arial"/>
          <w:sz w:val="22"/>
          <w:szCs w:val="22"/>
        </w:rPr>
        <w:t xml:space="preserve">: Csak teljesen üres edényeket szabad </w:t>
      </w:r>
      <w:r w:rsidR="00676937">
        <w:rPr>
          <w:rFonts w:ascii="Arial" w:hAnsi="Arial" w:cs="Arial"/>
          <w:sz w:val="22"/>
          <w:szCs w:val="22"/>
        </w:rPr>
        <w:t>megsemmisíteni.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 SZAKASZ: Szállítási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14.1. Közúti szállítás ADR: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14.2. Vasúti közlekedés RID: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14.3. Belvízi szállítás ADN: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14.4. Tengeri szállítás IMDG: -</w:t>
      </w:r>
    </w:p>
    <w:p w:rsid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14.5. Légi közlekedés IATA: -</w:t>
      </w:r>
    </w:p>
    <w:p w:rsidR="00D874A6" w:rsidRPr="00FD0534" w:rsidRDefault="00D874A6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15. SZAKASZ: Szabályozási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15.1. Az anyagra vagy keverékre vonatkozó biztonsági, egészségügyi és környezetvédelmi előírások / jogszabályok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EU-előírások: Ez a biztonsági adatlap megfelel az 1907/2006 / EK rendelet (REACH) II. Mellékletének módosításáról szóló 453/2010 / EU rendeletnek.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Nemzeti előírások: További információ nem áll rendelkezésre</w:t>
      </w:r>
    </w:p>
    <w:p w:rsidR="00676937" w:rsidRPr="00FD0534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 xml:space="preserve">15.2. </w:t>
      </w:r>
      <w:r w:rsidR="00676937">
        <w:rPr>
          <w:rFonts w:ascii="Arial" w:hAnsi="Arial" w:cs="Arial"/>
          <w:b/>
          <w:sz w:val="22"/>
          <w:szCs w:val="22"/>
        </w:rPr>
        <w:t>B</w:t>
      </w:r>
      <w:r w:rsidRPr="00FD0534">
        <w:rPr>
          <w:rFonts w:ascii="Arial" w:hAnsi="Arial" w:cs="Arial"/>
          <w:b/>
          <w:sz w:val="22"/>
          <w:szCs w:val="22"/>
        </w:rPr>
        <w:t>iztonsági értékelés:</w:t>
      </w:r>
      <w:r w:rsidRPr="00FD0534">
        <w:rPr>
          <w:rFonts w:ascii="Arial" w:hAnsi="Arial" w:cs="Arial"/>
          <w:sz w:val="22"/>
          <w:szCs w:val="22"/>
        </w:rPr>
        <w:t xml:space="preserve"> Nem áll rendelkezésre.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 SZAKASZ: Egyéb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 1. Az előző verzióhoz képest megváltozott adatok: -</w:t>
      </w:r>
    </w:p>
    <w:p w:rsidR="00676937" w:rsidRPr="00FD0534" w:rsidRDefault="00676937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16.2. A H-mondatok teljes szövege: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H225 Tűzveszélyes folyadék és gőz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H317 Allergiás bőrreakciót válthat ki.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H319 Súlyos szemirritációt okoz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H336 Álmosságot vagy szédülést okozhat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H400 Nagyon mérgező a vízi élővilágra.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H411 ​​Mérgező a vízi élővilágra, hosszan tartó károsodást okoz.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16.3. Rövidítések és betűszavak: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LC50: Halálos koncentráció, 50 százalék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LD50: Halálos dózis, 50 százalék</w:t>
      </w:r>
    </w:p>
    <w:p w:rsidR="00676937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676937" w:rsidRPr="00FD0534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16.4. Jogi nyilatkozat: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Az ebben az adatlapban szereplő információk a publikált művekből származó adatok és beszállítóink információinak összevonása, és jóhiszeműen, vállalatunk legjobb tudása szerint, igazak és pontosak. A felhasználó felelőssége, hogy felelősséget vállaljon a termék nem megfelelő használatából eredő veszteségekért, sérülésekért, károkért vagy költségekért. A termék felhasználója köteles betartani az érintett ország érvényes helyi, regionális és nemzeti törvényeit és rendelkezéseit. Ennek az adatlapnak az 1907/2006 / EK és az 1272/2008 / EK rendeletnek megfelelnek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16.5. Adatforrások: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1. http://ecb.jrc.ec.europa.eu/esis/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2. http://echa.europa.eu/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3. A nyersanyag-termelők MSDS-je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sectPr w:rsidR="00FD0534" w:rsidRPr="00FD0534" w:rsidSect="00BF5C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D7E" w:rsidRDefault="00DB0D7E" w:rsidP="00DA6F42">
      <w:pPr>
        <w:spacing w:after="0" w:line="240" w:lineRule="auto"/>
      </w:pPr>
      <w:r>
        <w:separator/>
      </w:r>
    </w:p>
  </w:endnote>
  <w:endnote w:type="continuationSeparator" w:id="1">
    <w:p w:rsidR="00DB0D7E" w:rsidRDefault="00DB0D7E" w:rsidP="00DA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2719"/>
      <w:docPartObj>
        <w:docPartGallery w:val="Page Numbers (Bottom of Page)"/>
        <w:docPartUnique/>
      </w:docPartObj>
    </w:sdtPr>
    <w:sdtContent>
      <w:p w:rsidR="00D874A6" w:rsidRDefault="006238DB">
        <w:pPr>
          <w:pStyle w:val="llb"/>
          <w:jc w:val="center"/>
        </w:pPr>
        <w:fldSimple w:instr=" PAGE   \* MERGEFORMAT ">
          <w:r w:rsidR="00EA7AA1">
            <w:rPr>
              <w:noProof/>
            </w:rPr>
            <w:t>2</w:t>
          </w:r>
        </w:fldSimple>
      </w:p>
    </w:sdtContent>
  </w:sdt>
  <w:p w:rsidR="00D874A6" w:rsidRDefault="00D874A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D7E" w:rsidRDefault="00DB0D7E" w:rsidP="00DA6F42">
      <w:pPr>
        <w:spacing w:after="0" w:line="240" w:lineRule="auto"/>
      </w:pPr>
      <w:r>
        <w:separator/>
      </w:r>
    </w:p>
  </w:footnote>
  <w:footnote w:type="continuationSeparator" w:id="1">
    <w:p w:rsidR="00DB0D7E" w:rsidRDefault="00DB0D7E" w:rsidP="00DA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50" w:type="dxa"/>
      <w:tblInd w:w="-1110" w:type="dxa"/>
      <w:tblLook w:val="01E0"/>
    </w:tblPr>
    <w:tblGrid>
      <w:gridCol w:w="1000"/>
      <w:gridCol w:w="10776"/>
      <w:gridCol w:w="1000"/>
      <w:gridCol w:w="1374"/>
    </w:tblGrid>
    <w:tr w:rsidR="00DA6F42" w:rsidRPr="00141CC4" w:rsidTr="00DC41EF">
      <w:trPr>
        <w:trHeight w:val="776"/>
      </w:trPr>
      <w:tc>
        <w:tcPr>
          <w:tcW w:w="10999" w:type="dxa"/>
          <w:gridSpan w:val="2"/>
          <w:shd w:val="clear" w:color="auto" w:fill="auto"/>
        </w:tcPr>
        <w:p w:rsidR="00DA6F42" w:rsidRDefault="00FD0534" w:rsidP="00DC41EF">
          <w:pPr>
            <w:pStyle w:val="Cm"/>
            <w:ind w:right="-6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noProof/>
              <w:sz w:val="28"/>
              <w:szCs w:val="28"/>
              <w:lang w:val="hu-HU" w:eastAsia="hu-H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-1270</wp:posOffset>
                </wp:positionV>
                <wp:extent cx="920750" cy="802005"/>
                <wp:effectExtent l="19050" t="0" r="0" b="0"/>
                <wp:wrapSquare wrapText="bothSides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A6F42" w:rsidRPr="00FC5527" w:rsidRDefault="00FD0534" w:rsidP="00D874A6">
          <w:pPr>
            <w:pStyle w:val="Cm"/>
            <w:ind w:right="-6"/>
            <w:jc w:val="left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sz w:val="28"/>
              <w:szCs w:val="28"/>
              <w:lang w:val="hr-HR"/>
            </w:rPr>
            <w:t>BIZTONSÁGI ADATLAP</w:t>
          </w:r>
        </w:p>
        <w:p w:rsidR="00DA6F42" w:rsidRDefault="00DA6F42" w:rsidP="00D874A6">
          <w:pPr>
            <w:pStyle w:val="Cm"/>
            <w:ind w:right="360"/>
            <w:jc w:val="left"/>
            <w:rPr>
              <w:rFonts w:cs="Arial"/>
              <w:sz w:val="16"/>
              <w:szCs w:val="16"/>
              <w:lang w:val="hr-HR"/>
            </w:rPr>
          </w:pPr>
          <w:r>
            <w:rPr>
              <w:rFonts w:cs="Arial"/>
              <w:sz w:val="16"/>
              <w:szCs w:val="16"/>
              <w:lang w:val="hr-HR"/>
            </w:rPr>
            <w:t>According to (EC) No</w:t>
          </w:r>
          <w:r w:rsidRPr="00141CC4">
            <w:rPr>
              <w:rFonts w:cs="Arial"/>
              <w:sz w:val="16"/>
              <w:szCs w:val="16"/>
              <w:lang w:val="hr-HR"/>
            </w:rPr>
            <w:t xml:space="preserve"> 1907/2006</w:t>
          </w:r>
        </w:p>
        <w:p w:rsidR="00DA6F42" w:rsidRPr="00141CC4" w:rsidRDefault="00DA6F42" w:rsidP="00DA6F42">
          <w:pPr>
            <w:pStyle w:val="Cm"/>
            <w:tabs>
              <w:tab w:val="left" w:pos="2548"/>
            </w:tabs>
            <w:ind w:right="360"/>
            <w:jc w:val="left"/>
            <w:rPr>
              <w:rFonts w:cs="Arial"/>
              <w:lang w:val="hr-HR"/>
            </w:rPr>
          </w:pPr>
        </w:p>
      </w:tc>
      <w:tc>
        <w:tcPr>
          <w:tcW w:w="2217" w:type="dxa"/>
          <w:gridSpan w:val="2"/>
          <w:shd w:val="clear" w:color="auto" w:fill="auto"/>
          <w:vAlign w:val="center"/>
        </w:tcPr>
        <w:p w:rsidR="00DA6F42" w:rsidRPr="00141CC4" w:rsidRDefault="00DA6F42" w:rsidP="00DC41EF">
          <w:pPr>
            <w:pStyle w:val="Cm"/>
            <w:ind w:right="-6"/>
            <w:jc w:val="left"/>
            <w:rPr>
              <w:rFonts w:cs="Arial"/>
              <w:lang w:val="hr-HR"/>
            </w:rPr>
          </w:pPr>
        </w:p>
      </w:tc>
    </w:tr>
    <w:tr w:rsidR="00DA6F42" w:rsidRPr="0061061A" w:rsidTr="00DC41EF">
      <w:trPr>
        <w:gridBefore w:val="1"/>
        <w:gridAfter w:val="1"/>
        <w:wBefore w:w="934" w:type="dxa"/>
        <w:wAfter w:w="1283" w:type="dxa"/>
      </w:trPr>
      <w:tc>
        <w:tcPr>
          <w:tcW w:w="10999" w:type="dxa"/>
          <w:gridSpan w:val="2"/>
          <w:shd w:val="clear" w:color="auto" w:fill="auto"/>
        </w:tcPr>
        <w:tbl>
          <w:tblPr>
            <w:tblW w:w="9552" w:type="dxa"/>
            <w:tblBorders>
              <w:top w:val="double" w:sz="4" w:space="0" w:color="auto"/>
              <w:bottom w:val="double" w:sz="4" w:space="0" w:color="auto"/>
            </w:tblBorders>
            <w:tblLook w:val="0000"/>
          </w:tblPr>
          <w:tblGrid>
            <w:gridCol w:w="1985"/>
            <w:gridCol w:w="5103"/>
            <w:gridCol w:w="1043"/>
            <w:gridCol w:w="1421"/>
          </w:tblGrid>
          <w:tr w:rsidR="00EA7AA1" w:rsidRPr="005205DF" w:rsidTr="00DC41EF">
            <w:trPr>
              <w:cantSplit/>
            </w:trPr>
            <w:tc>
              <w:tcPr>
                <w:tcW w:w="1985" w:type="dxa"/>
              </w:tcPr>
              <w:p w:rsidR="00EA7AA1" w:rsidRPr="00994F99" w:rsidRDefault="00EA7AA1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cs="Arial"/>
                    <w:sz w:val="20"/>
                    <w:lang w:val="hr-HR"/>
                  </w:rPr>
                  <w:t xml:space="preserve">     </w:t>
                </w:r>
                <w:r>
                  <w:rPr>
                    <w:rFonts w:ascii="Arial" w:hAnsi="Arial"/>
                    <w:sz w:val="20"/>
                  </w:rPr>
                  <w:t>Product</w:t>
                </w:r>
              </w:p>
            </w:tc>
            <w:tc>
              <w:tcPr>
                <w:tcW w:w="5103" w:type="dxa"/>
              </w:tcPr>
              <w:p w:rsidR="00EA7AA1" w:rsidRPr="00054577" w:rsidRDefault="00EA7AA1" w:rsidP="00DC41EF">
                <w:pPr>
                  <w:pStyle w:val="Cmsor1"/>
                  <w:tabs>
                    <w:tab w:val="left" w:pos="1455"/>
                  </w:tabs>
                  <w:spacing w:before="40" w:after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ORNEL </w:t>
                </w:r>
                <w:r w:rsidRPr="00E15771">
                  <w:rPr>
                    <w:rFonts w:ascii="Times New Roman" w:hAnsi="Times New Roman"/>
                    <w:sz w:val="24"/>
                    <w:szCs w:val="24"/>
                  </w:rPr>
                  <w:t>JASMINE &amp; COTTON</w:t>
                </w:r>
              </w:p>
            </w:tc>
            <w:tc>
              <w:tcPr>
                <w:tcW w:w="1043" w:type="dxa"/>
              </w:tcPr>
              <w:p w:rsidR="00EA7AA1" w:rsidRPr="00994F99" w:rsidRDefault="00EA7AA1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Date</w:t>
                </w:r>
                <w:r w:rsidRPr="00994F99">
                  <w:rPr>
                    <w:rFonts w:ascii="Arial" w:hAnsi="Arial"/>
                    <w:sz w:val="20"/>
                  </w:rPr>
                  <w:t xml:space="preserve">: </w:t>
                </w:r>
              </w:p>
            </w:tc>
            <w:tc>
              <w:tcPr>
                <w:tcW w:w="1421" w:type="dxa"/>
              </w:tcPr>
              <w:p w:rsidR="00EA7AA1" w:rsidRPr="00994F99" w:rsidRDefault="00EA7AA1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21.01.2020.</w:t>
                </w:r>
              </w:p>
            </w:tc>
          </w:tr>
          <w:tr w:rsidR="002D766E" w:rsidRPr="005205DF" w:rsidTr="00DC41EF">
            <w:trPr>
              <w:cantSplit/>
            </w:trPr>
            <w:tc>
              <w:tcPr>
                <w:tcW w:w="1985" w:type="dxa"/>
              </w:tcPr>
              <w:p w:rsidR="002D766E" w:rsidRPr="005205DF" w:rsidRDefault="002D766E" w:rsidP="00DC41EF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5103" w:type="dxa"/>
              </w:tcPr>
              <w:p w:rsidR="002D766E" w:rsidRPr="005205DF" w:rsidRDefault="002D766E" w:rsidP="00DC41EF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1043" w:type="dxa"/>
              </w:tcPr>
              <w:p w:rsidR="002D766E" w:rsidRPr="00994F99" w:rsidRDefault="002D766E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Revision</w:t>
                </w:r>
                <w:r w:rsidRPr="00994F99">
                  <w:rPr>
                    <w:rFonts w:ascii="Arial" w:hAnsi="Arial"/>
                    <w:sz w:val="20"/>
                  </w:rPr>
                  <w:t>:</w:t>
                </w:r>
              </w:p>
            </w:tc>
            <w:tc>
              <w:tcPr>
                <w:tcW w:w="1421" w:type="dxa"/>
              </w:tcPr>
              <w:p w:rsidR="002D766E" w:rsidRPr="00994F99" w:rsidRDefault="002D766E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I</w:t>
                </w:r>
              </w:p>
            </w:tc>
          </w:tr>
        </w:tbl>
        <w:p w:rsidR="00DA6F42" w:rsidRPr="0061061A" w:rsidRDefault="00DA6F42" w:rsidP="00DC41EF">
          <w:pPr>
            <w:pStyle w:val="Cm"/>
            <w:tabs>
              <w:tab w:val="left" w:pos="228"/>
            </w:tabs>
            <w:ind w:right="360"/>
            <w:jc w:val="left"/>
            <w:rPr>
              <w:rFonts w:cs="Arial"/>
              <w:sz w:val="20"/>
              <w:lang w:val="hr-HR"/>
            </w:rPr>
          </w:pPr>
        </w:p>
      </w:tc>
    </w:tr>
  </w:tbl>
  <w:p w:rsidR="00DA6F42" w:rsidRDefault="00DA6F4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6F42"/>
    <w:rsid w:val="0013266F"/>
    <w:rsid w:val="002A7FDB"/>
    <w:rsid w:val="002D766E"/>
    <w:rsid w:val="003B4452"/>
    <w:rsid w:val="00464F33"/>
    <w:rsid w:val="006238DB"/>
    <w:rsid w:val="00676937"/>
    <w:rsid w:val="007F7B4E"/>
    <w:rsid w:val="00BF5CE0"/>
    <w:rsid w:val="00D52ACD"/>
    <w:rsid w:val="00D874A6"/>
    <w:rsid w:val="00DA6F42"/>
    <w:rsid w:val="00DB0D7E"/>
    <w:rsid w:val="00EA7AA1"/>
    <w:rsid w:val="00F241A4"/>
    <w:rsid w:val="00FD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CE0"/>
  </w:style>
  <w:style w:type="paragraph" w:styleId="Cmsor1">
    <w:name w:val="heading 1"/>
    <w:basedOn w:val="Norml"/>
    <w:next w:val="Norml"/>
    <w:link w:val="Cmsor1Char"/>
    <w:qFormat/>
    <w:rsid w:val="00DA6F4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US" w:eastAsia="hr-H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A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6F42"/>
  </w:style>
  <w:style w:type="paragraph" w:styleId="llb">
    <w:name w:val="footer"/>
    <w:basedOn w:val="Norml"/>
    <w:link w:val="llbChar"/>
    <w:uiPriority w:val="99"/>
    <w:unhideWhenUsed/>
    <w:rsid w:val="00DA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6F42"/>
  </w:style>
  <w:style w:type="character" w:customStyle="1" w:styleId="Cmsor1Char">
    <w:name w:val="Címsor 1 Char"/>
    <w:basedOn w:val="Bekezdsalapbettpusa"/>
    <w:link w:val="Cmsor1"/>
    <w:rsid w:val="00DA6F42"/>
    <w:rPr>
      <w:rFonts w:ascii="Arial" w:eastAsia="Times New Roman" w:hAnsi="Arial" w:cs="Times New Roman"/>
      <w:b/>
      <w:sz w:val="28"/>
      <w:szCs w:val="20"/>
      <w:lang w:val="en-US" w:eastAsia="hr-HR"/>
    </w:rPr>
  </w:style>
  <w:style w:type="paragraph" w:styleId="Cm">
    <w:name w:val="Title"/>
    <w:basedOn w:val="Norml"/>
    <w:link w:val="CmChar"/>
    <w:qFormat/>
    <w:rsid w:val="00DA6F4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CmChar">
    <w:name w:val="Cím Char"/>
    <w:basedOn w:val="Bekezdsalapbettpusa"/>
    <w:link w:val="Cm"/>
    <w:rsid w:val="00DA6F42"/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6F42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A6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A6F42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DA6F42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6F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1198</Words>
  <Characters>8267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Drenik</dc:creator>
  <cp:lastModifiedBy>Drenik</cp:lastModifiedBy>
  <cp:revision>2</cp:revision>
  <dcterms:created xsi:type="dcterms:W3CDTF">2021-03-19T13:15:00Z</dcterms:created>
  <dcterms:modified xsi:type="dcterms:W3CDTF">2021-03-19T13:15:00Z</dcterms:modified>
</cp:coreProperties>
</file>